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13A2" w14:paraId="7199AA1F" w14:textId="77777777" w:rsidTr="00B82602">
        <w:trPr>
          <w:trHeight w:val="1975"/>
        </w:trPr>
        <w:tc>
          <w:tcPr>
            <w:tcW w:w="9350" w:type="dxa"/>
            <w:shd w:val="clear" w:color="auto" w:fill="D9D9D9" w:themeFill="background1" w:themeFillShade="D9"/>
          </w:tcPr>
          <w:p w14:paraId="298C8F80" w14:textId="3FD3ABFB" w:rsidR="00D26491" w:rsidRDefault="001213A2" w:rsidP="001213A2">
            <w:pPr>
              <w:pStyle w:val="Title"/>
            </w:pPr>
            <w:r>
              <w:t xml:space="preserve"> </w:t>
            </w:r>
          </w:p>
          <w:p w14:paraId="521B8142" w14:textId="5AC1AE06" w:rsidR="005965F0" w:rsidRDefault="009B60FB" w:rsidP="009B60FB">
            <w:pPr>
              <w:pStyle w:val="Title"/>
              <w:rPr>
                <w:sz w:val="72"/>
                <w:szCs w:val="72"/>
              </w:rPr>
            </w:pPr>
            <w:r w:rsidRPr="005965F0">
              <w:rPr>
                <w:sz w:val="72"/>
                <w:szCs w:val="72"/>
              </w:rPr>
              <w:t>M</w:t>
            </w:r>
            <w:r w:rsidR="009758E3" w:rsidRPr="005965F0">
              <w:rPr>
                <w:sz w:val="72"/>
                <w:szCs w:val="72"/>
              </w:rPr>
              <w:t>AKING TAX DIGITAL</w:t>
            </w:r>
            <w:r w:rsidRPr="005965F0">
              <w:rPr>
                <w:sz w:val="72"/>
                <w:szCs w:val="72"/>
              </w:rPr>
              <w:t xml:space="preserve"> </w:t>
            </w:r>
            <w:r w:rsidR="005965F0">
              <w:rPr>
                <w:sz w:val="72"/>
                <w:szCs w:val="72"/>
              </w:rPr>
              <w:t>–</w:t>
            </w:r>
            <w:r w:rsidRPr="005965F0">
              <w:rPr>
                <w:sz w:val="72"/>
                <w:szCs w:val="72"/>
              </w:rPr>
              <w:t xml:space="preserve"> </w:t>
            </w:r>
          </w:p>
          <w:p w14:paraId="66AA2DC1" w14:textId="2E962BCF" w:rsidR="009B60FB" w:rsidRPr="005965F0" w:rsidRDefault="001213A2" w:rsidP="009B60FB">
            <w:pPr>
              <w:pStyle w:val="Title"/>
              <w:rPr>
                <w:sz w:val="72"/>
                <w:szCs w:val="72"/>
              </w:rPr>
            </w:pPr>
            <w:r w:rsidRPr="005965F0">
              <w:rPr>
                <w:sz w:val="72"/>
                <w:szCs w:val="72"/>
              </w:rPr>
              <w:t>FAQs</w:t>
            </w:r>
          </w:p>
          <w:p w14:paraId="18F45CD2" w14:textId="12F59386" w:rsidR="001213A2" w:rsidRPr="001213A2" w:rsidRDefault="001213A2" w:rsidP="001213A2"/>
        </w:tc>
      </w:tr>
    </w:tbl>
    <w:p w14:paraId="1AADB5C2" w14:textId="4CB8A5EB" w:rsidR="00A5562A" w:rsidRPr="0093256B" w:rsidRDefault="005965F0" w:rsidP="0093256B">
      <w:pPr>
        <w:pStyle w:val="Heading1"/>
        <w:rPr>
          <w:rStyle w:val="Strong"/>
          <w:rFonts w:ascii="Calibri Light" w:hAnsi="Calibri Light"/>
          <w:b w:val="0"/>
          <w:bCs w:val="0"/>
          <w:color w:val="3B3838" w:themeColor="background2" w:themeShade="40"/>
          <w:sz w:val="40"/>
          <w:szCs w:val="40"/>
        </w:rPr>
      </w:pPr>
      <w:r>
        <w:rPr>
          <w:color w:val="3B3838" w:themeColor="background2" w:themeShade="40"/>
          <w:sz w:val="40"/>
          <w:szCs w:val="40"/>
        </w:rPr>
        <w:br/>
      </w:r>
      <w:r w:rsidR="1BAC886D" w:rsidRPr="00BE6F52">
        <w:rPr>
          <w:color w:val="3B3838" w:themeColor="background2" w:themeShade="40"/>
          <w:sz w:val="40"/>
          <w:szCs w:val="40"/>
        </w:rPr>
        <w:t>Overview of Making Tax Digital</w:t>
      </w:r>
    </w:p>
    <w:p w14:paraId="1B2C0BF9" w14:textId="22510EB3" w:rsidR="1BAC886D" w:rsidRPr="00F64C41" w:rsidRDefault="1BAC886D" w:rsidP="00F67D1F">
      <w:pPr>
        <w:pStyle w:val="Heading2"/>
        <w:rPr>
          <w:b/>
          <w:bCs/>
          <w:color w:val="767171" w:themeColor="background2" w:themeShade="80"/>
        </w:rPr>
      </w:pPr>
      <w:r w:rsidRPr="00F64C41">
        <w:rPr>
          <w:rStyle w:val="Strong"/>
          <w:b w:val="0"/>
          <w:bCs w:val="0"/>
          <w:color w:val="767171" w:themeColor="background2" w:themeShade="80"/>
        </w:rPr>
        <w:t>What is Making Tax Digital?</w:t>
      </w:r>
    </w:p>
    <w:p w14:paraId="60BFDA84" w14:textId="5FDFA6F5" w:rsidR="00A5562A" w:rsidRPr="002F2608" w:rsidRDefault="302142F6" w:rsidP="002F2608">
      <w:pPr>
        <w:rPr>
          <w:rStyle w:val="Strong"/>
          <w:b w:val="0"/>
          <w:bCs w:val="0"/>
        </w:rPr>
      </w:pPr>
      <w:r w:rsidRPr="002D533D">
        <w:t>Making Tax Digital, also known as “MTD” in a long-term initiative by HMRC.  in simple terms, the curre</w:t>
      </w:r>
      <w:r w:rsidR="76E1C042" w:rsidRPr="002D533D">
        <w:t>nt self-assessment tax return form (SA100) is being replace by a digital only process.</w:t>
      </w:r>
    </w:p>
    <w:p w14:paraId="1DACDD9C" w14:textId="5725D095" w:rsidR="1BAC886D" w:rsidRPr="00F64C41" w:rsidRDefault="1BAC886D" w:rsidP="00F67D1F">
      <w:pPr>
        <w:pStyle w:val="Heading2"/>
        <w:rPr>
          <w:b/>
          <w:bCs/>
          <w:color w:val="767171" w:themeColor="background2" w:themeShade="80"/>
        </w:rPr>
      </w:pPr>
      <w:r w:rsidRPr="00F64C41">
        <w:rPr>
          <w:rStyle w:val="Strong"/>
          <w:b w:val="0"/>
          <w:bCs w:val="0"/>
          <w:color w:val="767171" w:themeColor="background2" w:themeShade="80"/>
        </w:rPr>
        <w:t>What are the changes?</w:t>
      </w:r>
    </w:p>
    <w:p w14:paraId="0E7464F0" w14:textId="28E4376E" w:rsidR="00A5562A" w:rsidRPr="002F2608" w:rsidRDefault="7D4856A6" w:rsidP="002F2608">
      <w:pPr>
        <w:rPr>
          <w:rStyle w:val="Strong"/>
          <w:b w:val="0"/>
          <w:bCs w:val="0"/>
        </w:rPr>
      </w:pPr>
      <w:r w:rsidRPr="002D533D">
        <w:t xml:space="preserve">There are three aspects to MTD.  </w:t>
      </w:r>
      <w:r w:rsidR="0062684C">
        <w:br/>
      </w:r>
      <w:r w:rsidRPr="002D533D">
        <w:t>Firstly, the need for “Digital Recordkeeping”, see the FAQ section below.</w:t>
      </w:r>
      <w:r w:rsidR="0062684C">
        <w:br/>
      </w:r>
      <w:r w:rsidRPr="002D533D">
        <w:t>Secondly, the need for information to be submitted to HMRC digitally (rather than via a tax return form).  Some of this data needs to be submitted more frequently that currently.</w:t>
      </w:r>
      <w:r w:rsidR="0062684C">
        <w:br/>
      </w:r>
      <w:r>
        <w:t>Finally, every UK taxpayer will have access to an HMRC online location called a “Personal Tax Account”, where you will be able to view and manage certain aspects of your tax affairs.</w:t>
      </w:r>
    </w:p>
    <w:p w14:paraId="60BEE1DB" w14:textId="3B2ED37E" w:rsidR="1BAC886D" w:rsidRPr="00BE6F52" w:rsidRDefault="1BAC886D" w:rsidP="00F67D1F">
      <w:pPr>
        <w:pStyle w:val="Heading2"/>
        <w:rPr>
          <w:b/>
          <w:bCs/>
          <w:color w:val="767171" w:themeColor="background2" w:themeShade="80"/>
        </w:rPr>
      </w:pPr>
      <w:r w:rsidRPr="00BE6F52">
        <w:rPr>
          <w:rStyle w:val="Strong"/>
          <w:b w:val="0"/>
          <w:bCs w:val="0"/>
          <w:color w:val="767171" w:themeColor="background2" w:themeShade="80"/>
        </w:rPr>
        <w:t>When do the changes take effect?</w:t>
      </w:r>
    </w:p>
    <w:p w14:paraId="026E5B25" w14:textId="1EF137EE" w:rsidR="0011260E" w:rsidRDefault="537DFD3E" w:rsidP="0062684C">
      <w:r w:rsidRPr="002D533D">
        <w:t xml:space="preserve">The Personal Tax Account </w:t>
      </w:r>
      <w:r w:rsidR="00A1340A" w:rsidRPr="002D533D">
        <w:t xml:space="preserve">already </w:t>
      </w:r>
      <w:r w:rsidRPr="002D533D">
        <w:t>exists.</w:t>
      </w:r>
      <w:r w:rsidR="0062684C">
        <w:br/>
      </w:r>
      <w:r w:rsidR="0011260E">
        <w:t xml:space="preserve">The other aspects of Making Tax Digital will come into force </w:t>
      </w:r>
      <w:r w:rsidR="00DC51D7">
        <w:t xml:space="preserve">from </w:t>
      </w:r>
      <w:r w:rsidR="0011260E">
        <w:t>April 202</w:t>
      </w:r>
      <w:r w:rsidR="00DC51D7">
        <w:t>4</w:t>
      </w:r>
      <w:r w:rsidR="002E0D1E">
        <w:t xml:space="preserve"> </w:t>
      </w:r>
      <w:r w:rsidR="00DC51D7">
        <w:t>for affected individuals, and April 2025 for Partnerships</w:t>
      </w:r>
    </w:p>
    <w:p w14:paraId="5D2D5BE8" w14:textId="77777777" w:rsidR="0093256B" w:rsidRPr="002D533D" w:rsidRDefault="0093256B" w:rsidP="0062684C"/>
    <w:p w14:paraId="0D80F97C" w14:textId="55191884" w:rsidR="001C5D05" w:rsidRPr="0093256B" w:rsidRDefault="1BAC886D" w:rsidP="0093256B">
      <w:pPr>
        <w:pStyle w:val="Heading1"/>
        <w:rPr>
          <w:color w:val="3B3838" w:themeColor="background2" w:themeShade="40"/>
          <w:sz w:val="40"/>
          <w:szCs w:val="40"/>
        </w:rPr>
      </w:pPr>
      <w:r w:rsidRPr="006F2E02">
        <w:rPr>
          <w:color w:val="3B3838" w:themeColor="background2" w:themeShade="40"/>
          <w:sz w:val="40"/>
          <w:szCs w:val="40"/>
        </w:rPr>
        <w:t>Periods</w:t>
      </w:r>
    </w:p>
    <w:p w14:paraId="2C066959" w14:textId="3D0FB701" w:rsidR="1BAC886D" w:rsidRPr="00733A05" w:rsidRDefault="1BAC886D" w:rsidP="00E4451E">
      <w:pPr>
        <w:pStyle w:val="Heading2"/>
        <w:rPr>
          <w:color w:val="767171" w:themeColor="background2" w:themeShade="80"/>
        </w:rPr>
      </w:pPr>
      <w:r w:rsidRPr="00733A05">
        <w:rPr>
          <w:rStyle w:val="Strong"/>
          <w:b w:val="0"/>
          <w:bCs w:val="0"/>
          <w:color w:val="767171" w:themeColor="background2" w:themeShade="80"/>
        </w:rPr>
        <w:t>What is a quarter?</w:t>
      </w:r>
    </w:p>
    <w:p w14:paraId="373452A6" w14:textId="77777777" w:rsidR="00A1340A" w:rsidRDefault="00DC51D7" w:rsidP="002D533D">
      <w:r>
        <w:t xml:space="preserve">Regardless of the chosen accounting period, the quarter is </w:t>
      </w:r>
      <w:r w:rsidR="0095678F">
        <w:t>aligned with the tax year. Therefore, for an affected individual, the first update would be for the period 6 April 202</w:t>
      </w:r>
      <w:r w:rsidR="003B3C39">
        <w:t>4</w:t>
      </w:r>
      <w:r w:rsidR="0095678F">
        <w:t xml:space="preserve"> to 5 July 202</w:t>
      </w:r>
      <w:r w:rsidR="003B3C39">
        <w:t>4</w:t>
      </w:r>
      <w:r w:rsidR="0095678F">
        <w:t>.</w:t>
      </w:r>
    </w:p>
    <w:p w14:paraId="5E9249AE" w14:textId="4050805D" w:rsidR="00502F5E" w:rsidRDefault="003B3C39" w:rsidP="002D533D">
      <w:r>
        <w:t xml:space="preserve">An election can be made to report to the nearest calendar month, which will be particularly useful for </w:t>
      </w:r>
      <w:r w:rsidR="0095678F">
        <w:t xml:space="preserve">those trades who are VAT registered (and so already provide VAT updates </w:t>
      </w:r>
      <w:r w:rsidR="005B5FA3">
        <w:t>for quarters aligned to a month end),</w:t>
      </w:r>
      <w:r>
        <w:t xml:space="preserve"> or trades who use an accounting period ending on 31 March. Making the election would </w:t>
      </w:r>
      <w:r w:rsidR="005B5FA3">
        <w:t>mean</w:t>
      </w:r>
      <w:r>
        <w:t xml:space="preserve"> </w:t>
      </w:r>
      <w:r w:rsidR="00502F5E">
        <w:t>the quarter end dates will be 30 June, 30 September, 31 December, and 31 March.</w:t>
      </w:r>
    </w:p>
    <w:p w14:paraId="46823660" w14:textId="081C6FFD" w:rsidR="58317A38" w:rsidRPr="002D533D" w:rsidRDefault="58317A38" w:rsidP="002D533D"/>
    <w:p w14:paraId="0A8E0D2C" w14:textId="29160CA2" w:rsidR="1BAC886D" w:rsidRPr="00F33A4D" w:rsidRDefault="1BAC886D" w:rsidP="001A2AC4">
      <w:pPr>
        <w:pStyle w:val="Heading1"/>
        <w:rPr>
          <w:color w:val="3B3838" w:themeColor="background2" w:themeShade="40"/>
          <w:sz w:val="40"/>
          <w:szCs w:val="40"/>
        </w:rPr>
      </w:pPr>
      <w:r w:rsidRPr="00F33A4D">
        <w:rPr>
          <w:color w:val="3B3838" w:themeColor="background2" w:themeShade="40"/>
          <w:sz w:val="40"/>
          <w:szCs w:val="40"/>
        </w:rPr>
        <w:lastRenderedPageBreak/>
        <w:t>Taxpayers impacted</w:t>
      </w:r>
    </w:p>
    <w:p w14:paraId="0414B20A" w14:textId="3B07C428" w:rsidR="1BAC886D" w:rsidRPr="00A5562A" w:rsidRDefault="1BAC886D" w:rsidP="00A5562A">
      <w:pPr>
        <w:pStyle w:val="Heading2"/>
        <w:rPr>
          <w:rStyle w:val="Strong"/>
          <w:b w:val="0"/>
          <w:bCs w:val="0"/>
          <w:color w:val="767171" w:themeColor="background2" w:themeShade="80"/>
        </w:rPr>
      </w:pPr>
      <w:r w:rsidRPr="00A5562A">
        <w:rPr>
          <w:rStyle w:val="Strong"/>
          <w:b w:val="0"/>
          <w:bCs w:val="0"/>
          <w:color w:val="767171" w:themeColor="background2" w:themeShade="80"/>
        </w:rPr>
        <w:t>Who is Impacted?</w:t>
      </w:r>
    </w:p>
    <w:p w14:paraId="7771679F" w14:textId="6C1E0DA7" w:rsidR="00C03668" w:rsidRDefault="000C2D57" w:rsidP="0011260E">
      <w:r>
        <w:t>Any trader (either sole trader or partnership) or property landlord with income over £10,000 per annum</w:t>
      </w:r>
      <w:r w:rsidR="00655D49">
        <w:t>.</w:t>
      </w:r>
    </w:p>
    <w:p w14:paraId="5582AE3B" w14:textId="33FE9A3E" w:rsidR="000C2D57" w:rsidRPr="00A5562A" w:rsidRDefault="000C2D57" w:rsidP="00A5562A">
      <w:pPr>
        <w:pStyle w:val="Heading2"/>
        <w:rPr>
          <w:color w:val="767171" w:themeColor="background2" w:themeShade="80"/>
        </w:rPr>
      </w:pPr>
      <w:r w:rsidRPr="00A5562A">
        <w:rPr>
          <w:color w:val="767171" w:themeColor="background2" w:themeShade="80"/>
        </w:rPr>
        <w:t>Is the £10,000 limit per source?</w:t>
      </w:r>
    </w:p>
    <w:p w14:paraId="6DAE6126" w14:textId="75EEF0D6" w:rsidR="00655D49" w:rsidRDefault="000C2D57" w:rsidP="000C2D57">
      <w:r>
        <w:t>No.  The limit applies to “mandated” income</w:t>
      </w:r>
      <w:r w:rsidR="00FC3F55">
        <w:t>.</w:t>
      </w:r>
    </w:p>
    <w:p w14:paraId="2E1550BD" w14:textId="77DED0A7" w:rsidR="00FC3F55" w:rsidRPr="00A5562A" w:rsidRDefault="00FC3F55" w:rsidP="00A5562A">
      <w:pPr>
        <w:pStyle w:val="Heading2"/>
        <w:jc w:val="both"/>
        <w:rPr>
          <w:color w:val="767171" w:themeColor="background2" w:themeShade="80"/>
        </w:rPr>
      </w:pPr>
      <w:r w:rsidRPr="00A5562A">
        <w:rPr>
          <w:color w:val="767171" w:themeColor="background2" w:themeShade="80"/>
        </w:rPr>
        <w:t>What income is mandated?</w:t>
      </w:r>
    </w:p>
    <w:p w14:paraId="706F2132" w14:textId="105521B9" w:rsidR="00655D49" w:rsidRPr="0062684C" w:rsidRDefault="00FC3F55" w:rsidP="00FC3F55">
      <w:r>
        <w:t xml:space="preserve">Trading income and </w:t>
      </w:r>
      <w:r w:rsidR="00271A6A">
        <w:t>property</w:t>
      </w:r>
      <w:r>
        <w:t xml:space="preserve"> income</w:t>
      </w:r>
      <w:r w:rsidR="00655D49">
        <w:t>.</w:t>
      </w:r>
    </w:p>
    <w:p w14:paraId="595FB681" w14:textId="7CA0741A" w:rsidR="008A7080" w:rsidRPr="00A5562A" w:rsidRDefault="008A7080" w:rsidP="00A5562A">
      <w:pPr>
        <w:pStyle w:val="Heading2"/>
        <w:rPr>
          <w:color w:val="767171" w:themeColor="background2" w:themeShade="80"/>
        </w:rPr>
      </w:pPr>
      <w:r w:rsidRPr="00A5562A">
        <w:rPr>
          <w:color w:val="767171" w:themeColor="background2" w:themeShade="80"/>
        </w:rPr>
        <w:t>How are the limits applied?</w:t>
      </w:r>
    </w:p>
    <w:p w14:paraId="740E2C20" w14:textId="77777777" w:rsidR="008A7080" w:rsidRDefault="008A7080" w:rsidP="000C2D57">
      <w:r>
        <w:t xml:space="preserve">The £10,000 limit is a </w:t>
      </w:r>
      <w:r w:rsidR="000C2D57">
        <w:t xml:space="preserve">combined </w:t>
      </w:r>
      <w:r w:rsidR="00B23D65">
        <w:t xml:space="preserve">limit across both trading income and property income. </w:t>
      </w:r>
      <w:r>
        <w:t xml:space="preserve"> The limit does not apply to non-mandated income.</w:t>
      </w:r>
    </w:p>
    <w:p w14:paraId="5CFBF0FF" w14:textId="48595575" w:rsidR="008A7080" w:rsidRDefault="00B23D65" w:rsidP="000C2D57">
      <w:r>
        <w:t xml:space="preserve">For example, if you receive gross rental income of £6,000 and sole trade income of £5,000, then combined </w:t>
      </w:r>
      <w:r w:rsidR="008A7080">
        <w:t xml:space="preserve">you are in receipt of mandated income </w:t>
      </w:r>
      <w:r>
        <w:t>over £10,000</w:t>
      </w:r>
      <w:r w:rsidR="000D44FC">
        <w:t>, and you are covered by the MTD requirements</w:t>
      </w:r>
      <w:r>
        <w:t>.</w:t>
      </w:r>
    </w:p>
    <w:p w14:paraId="7E50A7E6" w14:textId="301AC518" w:rsidR="00A5562A" w:rsidRDefault="00B23D65" w:rsidP="000C2D57">
      <w:r>
        <w:t>However, if you receive £</w:t>
      </w:r>
      <w:r w:rsidR="000D44FC">
        <w:t>6,000 rental income, and £5,000 employment income, then you</w:t>
      </w:r>
      <w:r w:rsidR="008A7080">
        <w:t xml:space="preserve">r mandated income is only £6,000, and so the MTD reporting rules </w:t>
      </w:r>
      <w:r w:rsidR="008513E2">
        <w:t>do not apply to you.</w:t>
      </w:r>
      <w:r>
        <w:t xml:space="preserve"> </w:t>
      </w:r>
    </w:p>
    <w:p w14:paraId="5FF9CA9C" w14:textId="7502AED0" w:rsidR="00271A6A" w:rsidRPr="00A5562A" w:rsidRDefault="00271A6A" w:rsidP="00271A6A">
      <w:pPr>
        <w:pStyle w:val="Heading2"/>
        <w:rPr>
          <w:color w:val="767171" w:themeColor="background2" w:themeShade="80"/>
        </w:rPr>
      </w:pPr>
      <w:r w:rsidRPr="00A5562A">
        <w:rPr>
          <w:rStyle w:val="Strong"/>
          <w:b w:val="0"/>
          <w:bCs w:val="0"/>
          <w:color w:val="767171" w:themeColor="background2" w:themeShade="80"/>
        </w:rPr>
        <w:t xml:space="preserve">What about </w:t>
      </w:r>
      <w:r>
        <w:rPr>
          <w:rStyle w:val="Strong"/>
          <w:b w:val="0"/>
          <w:bCs w:val="0"/>
          <w:color w:val="767171" w:themeColor="background2" w:themeShade="80"/>
        </w:rPr>
        <w:t>partnerships</w:t>
      </w:r>
      <w:r w:rsidRPr="00A5562A">
        <w:rPr>
          <w:rStyle w:val="Strong"/>
          <w:b w:val="0"/>
          <w:bCs w:val="0"/>
          <w:color w:val="767171" w:themeColor="background2" w:themeShade="80"/>
        </w:rPr>
        <w:t>?</w:t>
      </w:r>
    </w:p>
    <w:p w14:paraId="0CDEA31C" w14:textId="087C02C9" w:rsidR="00271A6A" w:rsidRPr="002D533D" w:rsidRDefault="00271A6A" w:rsidP="00271A6A">
      <w:r>
        <w:t xml:space="preserve">Partnerships deemed to be ‘simple’ (typically meaning no corporate partners) will </w:t>
      </w:r>
      <w:r w:rsidR="00FB0094">
        <w:t>be within the MTD regime from April 2025</w:t>
      </w:r>
      <w:r>
        <w:t xml:space="preserve">.  </w:t>
      </w:r>
      <w:r w:rsidR="00FB0094">
        <w:t xml:space="preserve">Complex partnerships will align with the </w:t>
      </w:r>
      <w:r>
        <w:t xml:space="preserve">“MTD for Corporates” </w:t>
      </w:r>
      <w:r w:rsidR="00A02285">
        <w:t xml:space="preserve">which </w:t>
      </w:r>
      <w:r>
        <w:t>will not be mandated before April 2026.</w:t>
      </w:r>
    </w:p>
    <w:p w14:paraId="7AF963CA" w14:textId="52E37A1C" w:rsidR="1BAC886D" w:rsidRPr="00A5562A" w:rsidRDefault="1BAC886D" w:rsidP="00A5562A">
      <w:pPr>
        <w:pStyle w:val="Heading2"/>
        <w:rPr>
          <w:color w:val="767171" w:themeColor="background2" w:themeShade="80"/>
        </w:rPr>
      </w:pPr>
      <w:r w:rsidRPr="00A5562A">
        <w:rPr>
          <w:rStyle w:val="Strong"/>
          <w:b w:val="0"/>
          <w:bCs w:val="0"/>
          <w:color w:val="767171" w:themeColor="background2" w:themeShade="80"/>
        </w:rPr>
        <w:t>What about companies?</w:t>
      </w:r>
    </w:p>
    <w:p w14:paraId="167CC0ED" w14:textId="2CFB6A65" w:rsidR="58317A38" w:rsidRPr="002D533D" w:rsidRDefault="008513E2" w:rsidP="002D533D">
      <w:r>
        <w:t>It is expected that “MTD for Corpor</w:t>
      </w:r>
      <w:r w:rsidR="000E3E30">
        <w:t>ates” will not be mandated before April 2026</w:t>
      </w:r>
      <w:r w:rsidR="0023030F">
        <w:t>.</w:t>
      </w:r>
    </w:p>
    <w:p w14:paraId="27399AA0" w14:textId="608C6058" w:rsidR="58317A38" w:rsidRPr="002D533D" w:rsidRDefault="58317A38" w:rsidP="002D533D"/>
    <w:p w14:paraId="4FB566DD" w14:textId="2EB57C3A" w:rsidR="1BAC886D" w:rsidRPr="0093256B" w:rsidRDefault="1BAC886D" w:rsidP="001A2AC4">
      <w:pPr>
        <w:pStyle w:val="Heading1"/>
        <w:rPr>
          <w:rFonts w:ascii="Calibri Light" w:hAnsi="Calibri Light"/>
          <w:color w:val="3B3838" w:themeColor="background2" w:themeShade="40"/>
          <w:sz w:val="40"/>
          <w:szCs w:val="40"/>
        </w:rPr>
      </w:pPr>
      <w:r w:rsidRPr="0093256B">
        <w:rPr>
          <w:color w:val="3B3838" w:themeColor="background2" w:themeShade="40"/>
          <w:sz w:val="40"/>
          <w:szCs w:val="40"/>
        </w:rPr>
        <w:t>Digital Exclusion</w:t>
      </w:r>
    </w:p>
    <w:p w14:paraId="2399DC2B" w14:textId="5343D49A" w:rsidR="1BAC886D" w:rsidRPr="00A5562A" w:rsidRDefault="1BAC886D" w:rsidP="00A5562A">
      <w:pPr>
        <w:pStyle w:val="Heading2"/>
        <w:rPr>
          <w:rStyle w:val="Strong"/>
          <w:b w:val="0"/>
          <w:bCs w:val="0"/>
          <w:color w:val="767171" w:themeColor="background2" w:themeShade="80"/>
        </w:rPr>
      </w:pPr>
      <w:r w:rsidRPr="00A5562A">
        <w:rPr>
          <w:rStyle w:val="Strong"/>
          <w:b w:val="0"/>
          <w:bCs w:val="0"/>
          <w:color w:val="767171" w:themeColor="background2" w:themeShade="80"/>
        </w:rPr>
        <w:t>What if I cannot handle “digital” processes?</w:t>
      </w:r>
    </w:p>
    <w:p w14:paraId="3C6BBCDC" w14:textId="4A694C59" w:rsidR="00655D49" w:rsidRPr="0093256B" w:rsidRDefault="000E3E30" w:rsidP="000E3E30">
      <w:r>
        <w:t>If HMRC agree that you are “digitally excluded”, then you are exempt from the MTD reporting requirements.</w:t>
      </w:r>
    </w:p>
    <w:p w14:paraId="2911886B" w14:textId="7A68735D" w:rsidR="000E3E30" w:rsidRPr="00A5562A" w:rsidRDefault="000E3E30" w:rsidP="00A5562A">
      <w:pPr>
        <w:pStyle w:val="Heading2"/>
        <w:rPr>
          <w:color w:val="767171" w:themeColor="background2" w:themeShade="80"/>
        </w:rPr>
      </w:pPr>
      <w:r w:rsidRPr="00A5562A">
        <w:rPr>
          <w:color w:val="767171" w:themeColor="background2" w:themeShade="80"/>
        </w:rPr>
        <w:t xml:space="preserve">What does “Digitally </w:t>
      </w:r>
      <w:proofErr w:type="gramStart"/>
      <w:r w:rsidRPr="00A5562A">
        <w:rPr>
          <w:color w:val="767171" w:themeColor="background2" w:themeShade="80"/>
        </w:rPr>
        <w:t>Excluded</w:t>
      </w:r>
      <w:proofErr w:type="gramEnd"/>
      <w:r w:rsidRPr="00A5562A">
        <w:rPr>
          <w:color w:val="767171" w:themeColor="background2" w:themeShade="80"/>
        </w:rPr>
        <w:t>” mean?</w:t>
      </w:r>
    </w:p>
    <w:p w14:paraId="0811DE2D" w14:textId="16ED1ADE" w:rsidR="00655D49" w:rsidRPr="0093256B" w:rsidRDefault="00173600" w:rsidP="000E3E30">
      <w:r>
        <w:t xml:space="preserve">If HMRC agree that it is not practical for you to use digital tools by reason of age, </w:t>
      </w:r>
      <w:proofErr w:type="gramStart"/>
      <w:r>
        <w:t>disability</w:t>
      </w:r>
      <w:proofErr w:type="gramEnd"/>
      <w:r>
        <w:t xml:space="preserve"> or location, then </w:t>
      </w:r>
      <w:r w:rsidR="003E2B09">
        <w:t>you do not need to follow the MTD reporting requirements.</w:t>
      </w:r>
      <w:r w:rsidR="00BE130B">
        <w:t xml:space="preserve">  There </w:t>
      </w:r>
      <w:proofErr w:type="gramStart"/>
      <w:r w:rsidR="00BE130B">
        <w:t>is</w:t>
      </w:r>
      <w:proofErr w:type="gramEnd"/>
      <w:r w:rsidR="00BE130B">
        <w:t xml:space="preserve"> no prescribed criteria (specifically about age) as to why you can be excluded.  An example cited is if remoteness of location </w:t>
      </w:r>
      <w:r w:rsidR="00495B37">
        <w:t>means</w:t>
      </w:r>
      <w:r w:rsidR="00BE130B">
        <w:t xml:space="preserve"> you do not have internet </w:t>
      </w:r>
      <w:r w:rsidR="00495B37">
        <w:t>access at home, and it would be unreasonable to travel to a location with coverage.</w:t>
      </w:r>
      <w:r w:rsidR="00BE130B">
        <w:t xml:space="preserve"> </w:t>
      </w:r>
    </w:p>
    <w:p w14:paraId="75F4E49B" w14:textId="7B448027" w:rsidR="399D95ED" w:rsidRPr="006F2E02" w:rsidRDefault="399D95ED" w:rsidP="006F2E02">
      <w:pPr>
        <w:pStyle w:val="Heading2"/>
        <w:rPr>
          <w:rStyle w:val="Strong"/>
          <w:b w:val="0"/>
          <w:bCs w:val="0"/>
          <w:color w:val="767171" w:themeColor="background2" w:themeShade="80"/>
        </w:rPr>
      </w:pPr>
      <w:r w:rsidRPr="006F2E02">
        <w:rPr>
          <w:rStyle w:val="Strong"/>
          <w:b w:val="0"/>
          <w:bCs w:val="0"/>
          <w:color w:val="767171" w:themeColor="background2" w:themeShade="80"/>
        </w:rPr>
        <w:lastRenderedPageBreak/>
        <w:t>What if I do not want to take part?</w:t>
      </w:r>
    </w:p>
    <w:p w14:paraId="554876BA" w14:textId="4159C58E" w:rsidR="58317A38" w:rsidRPr="002D533D" w:rsidRDefault="00495B37" w:rsidP="002D533D">
      <w:r>
        <w:t>Unfortunately, unless you are Digit</w:t>
      </w:r>
      <w:r w:rsidR="00CF2C21">
        <w:t>ally Excluded, or exempt for some other reason, you are expected to submit MTD data, as required</w:t>
      </w:r>
      <w:r w:rsidR="0023030F">
        <w:t>.</w:t>
      </w:r>
    </w:p>
    <w:p w14:paraId="393EE02C" w14:textId="77777777" w:rsidR="00C63765" w:rsidRDefault="00C63765" w:rsidP="002D533D">
      <w:pPr>
        <w:rPr>
          <w:rFonts w:ascii="Calibri Light" w:hAnsi="Calibri Light"/>
          <w:color w:val="2F5496" w:themeColor="accent1" w:themeShade="BF"/>
          <w:sz w:val="32"/>
          <w:szCs w:val="32"/>
        </w:rPr>
      </w:pPr>
    </w:p>
    <w:p w14:paraId="6AAADBB6" w14:textId="5140AD22" w:rsidR="6BB03D9D" w:rsidRPr="0093256B" w:rsidRDefault="6BB03D9D" w:rsidP="002D533D">
      <w:pPr>
        <w:rPr>
          <w:rFonts w:ascii="Calibri Light" w:hAnsi="Calibri Light"/>
          <w:color w:val="3B3838" w:themeColor="background2" w:themeShade="40"/>
          <w:sz w:val="40"/>
          <w:szCs w:val="40"/>
        </w:rPr>
      </w:pPr>
      <w:r w:rsidRPr="0093256B">
        <w:rPr>
          <w:rFonts w:ascii="Calibri Light" w:hAnsi="Calibri Light"/>
          <w:color w:val="3B3838" w:themeColor="background2" w:themeShade="40"/>
          <w:sz w:val="40"/>
          <w:szCs w:val="40"/>
        </w:rPr>
        <w:t>Recordkeeping</w:t>
      </w:r>
    </w:p>
    <w:p w14:paraId="657ECFF0" w14:textId="2B743203" w:rsidR="58317A38" w:rsidRPr="0023030F" w:rsidRDefault="00C04173" w:rsidP="006F2E02">
      <w:pPr>
        <w:pStyle w:val="Heading2"/>
        <w:rPr>
          <w:color w:val="767171" w:themeColor="background2" w:themeShade="80"/>
        </w:rPr>
      </w:pPr>
      <w:r w:rsidRPr="0023030F">
        <w:rPr>
          <w:color w:val="767171" w:themeColor="background2" w:themeShade="80"/>
        </w:rPr>
        <w:t>What is “Digital R</w:t>
      </w:r>
      <w:r w:rsidR="00CF2C21" w:rsidRPr="0023030F">
        <w:rPr>
          <w:color w:val="767171" w:themeColor="background2" w:themeShade="80"/>
        </w:rPr>
        <w:t>e</w:t>
      </w:r>
      <w:r w:rsidRPr="0023030F">
        <w:rPr>
          <w:color w:val="767171" w:themeColor="background2" w:themeShade="80"/>
        </w:rPr>
        <w:t>cordkeeping</w:t>
      </w:r>
      <w:r w:rsidR="00CF2C21" w:rsidRPr="0023030F">
        <w:rPr>
          <w:color w:val="767171" w:themeColor="background2" w:themeShade="80"/>
        </w:rPr>
        <w:t>”</w:t>
      </w:r>
    </w:p>
    <w:p w14:paraId="23AF5BE2" w14:textId="11DAA308" w:rsidR="00CF2C21" w:rsidRDefault="00CF2C21" w:rsidP="00CF2C21">
      <w:r>
        <w:t xml:space="preserve">Part of MTD requires records to be kept using Digital Tools.  These tools will either be capable of interacting directly with HMRC to make </w:t>
      </w:r>
      <w:r w:rsidR="0023030F">
        <w:t>submissions or</w:t>
      </w:r>
      <w:r>
        <w:t xml:space="preserve"> will be linked to other tools that make the submission.</w:t>
      </w:r>
    </w:p>
    <w:p w14:paraId="1F0FACDA" w14:textId="77777777" w:rsidR="00BD30FB" w:rsidRPr="00CF2C21" w:rsidRDefault="00BD30FB" w:rsidP="00CF2C21"/>
    <w:p w14:paraId="23970E9D" w14:textId="53501607" w:rsidR="00C04173" w:rsidRPr="0093256B" w:rsidRDefault="1BAC886D" w:rsidP="001A2AC4">
      <w:pPr>
        <w:pStyle w:val="Heading1"/>
        <w:rPr>
          <w:rFonts w:ascii="Calibri Light" w:hAnsi="Calibri Light"/>
          <w:color w:val="3B3838" w:themeColor="background2" w:themeShade="40"/>
          <w:sz w:val="40"/>
          <w:szCs w:val="40"/>
        </w:rPr>
      </w:pPr>
      <w:r w:rsidRPr="0093256B">
        <w:rPr>
          <w:color w:val="3B3838" w:themeColor="background2" w:themeShade="40"/>
          <w:sz w:val="40"/>
          <w:szCs w:val="40"/>
        </w:rPr>
        <w:t>Submissions</w:t>
      </w:r>
    </w:p>
    <w:p w14:paraId="173DEECD" w14:textId="78AC7EF6" w:rsidR="1BAC886D" w:rsidRPr="006F2E02" w:rsidRDefault="1BAC886D" w:rsidP="006F2E02">
      <w:pPr>
        <w:pStyle w:val="Heading2"/>
        <w:rPr>
          <w:rStyle w:val="Strong"/>
          <w:b w:val="0"/>
          <w:bCs w:val="0"/>
          <w:color w:val="767171" w:themeColor="background2" w:themeShade="80"/>
        </w:rPr>
      </w:pPr>
      <w:r w:rsidRPr="006F2E02">
        <w:rPr>
          <w:rStyle w:val="Strong"/>
          <w:b w:val="0"/>
          <w:bCs w:val="0"/>
          <w:color w:val="767171" w:themeColor="background2" w:themeShade="80"/>
        </w:rPr>
        <w:t>How long do I have to make the quarterly submission?</w:t>
      </w:r>
    </w:p>
    <w:p w14:paraId="0C8F8B25" w14:textId="0F069085" w:rsidR="00157A9A" w:rsidRPr="002D533D" w:rsidRDefault="00157A9A" w:rsidP="002D533D">
      <w:r w:rsidRPr="002D533D">
        <w:t>One calendar month from the end of the quarter.</w:t>
      </w:r>
    </w:p>
    <w:p w14:paraId="6364AADD" w14:textId="09E2EBE0" w:rsidR="1BAC886D" w:rsidRPr="006F2E02" w:rsidRDefault="1BAC886D" w:rsidP="006F2E02">
      <w:pPr>
        <w:pStyle w:val="Heading2"/>
        <w:rPr>
          <w:rStyle w:val="Strong"/>
          <w:b w:val="0"/>
          <w:bCs w:val="0"/>
          <w:color w:val="767171" w:themeColor="background2" w:themeShade="80"/>
        </w:rPr>
      </w:pPr>
      <w:r w:rsidRPr="006F2E02">
        <w:rPr>
          <w:rStyle w:val="Strong"/>
          <w:b w:val="0"/>
          <w:bCs w:val="0"/>
          <w:color w:val="767171" w:themeColor="background2" w:themeShade="80"/>
        </w:rPr>
        <w:t>How long do I have to make the annual submission?</w:t>
      </w:r>
    </w:p>
    <w:p w14:paraId="617FB4A2" w14:textId="017E8F1E" w:rsidR="00157A9A" w:rsidRPr="006F2E02" w:rsidRDefault="00506809" w:rsidP="002D533D">
      <w:pPr>
        <w:rPr>
          <w:color w:val="767171" w:themeColor="background2" w:themeShade="80"/>
        </w:rPr>
      </w:pPr>
      <w:r w:rsidRPr="002D533D">
        <w:t>Annual information related to the tax year needs to be provided by 31 January following the tax year, as now</w:t>
      </w:r>
    </w:p>
    <w:p w14:paraId="7022461A" w14:textId="6F452B5E" w:rsidR="1BAC886D" w:rsidRPr="006F2E02" w:rsidRDefault="1BAC886D" w:rsidP="006F2E02">
      <w:pPr>
        <w:pStyle w:val="Heading2"/>
        <w:rPr>
          <w:rStyle w:val="Strong"/>
          <w:b w:val="0"/>
          <w:bCs w:val="0"/>
          <w:color w:val="767171" w:themeColor="background2" w:themeShade="80"/>
        </w:rPr>
      </w:pPr>
      <w:r w:rsidRPr="006F2E02">
        <w:rPr>
          <w:rStyle w:val="Strong"/>
          <w:b w:val="0"/>
          <w:bCs w:val="0"/>
          <w:color w:val="767171" w:themeColor="background2" w:themeShade="80"/>
        </w:rPr>
        <w:t>What income is submitted quarterly?</w:t>
      </w:r>
    </w:p>
    <w:p w14:paraId="4B9D9B34" w14:textId="2E881CAA" w:rsidR="00506809" w:rsidRPr="002D533D" w:rsidRDefault="00506809" w:rsidP="002D533D">
      <w:r w:rsidRPr="002D533D">
        <w:t xml:space="preserve">Only income and expenses in relation to trading income and rental income is required quarterly.  Further information can optionally also be </w:t>
      </w:r>
      <w:r w:rsidR="0023030F" w:rsidRPr="002D533D">
        <w:t>provided but</w:t>
      </w:r>
      <w:r w:rsidRPr="002D533D">
        <w:t xml:space="preserve"> is not required.</w:t>
      </w:r>
    </w:p>
    <w:p w14:paraId="049791EE" w14:textId="442D7F04" w:rsidR="022D560F" w:rsidRPr="006F2E02" w:rsidRDefault="001C5521" w:rsidP="006F2E02">
      <w:pPr>
        <w:pStyle w:val="Heading2"/>
        <w:rPr>
          <w:rStyle w:val="Strong"/>
          <w:b w:val="0"/>
          <w:bCs w:val="0"/>
          <w:color w:val="767171" w:themeColor="background2" w:themeShade="80"/>
        </w:rPr>
      </w:pPr>
      <w:r>
        <w:rPr>
          <w:rStyle w:val="Strong"/>
          <w:b w:val="0"/>
          <w:bCs w:val="0"/>
          <w:color w:val="767171" w:themeColor="background2" w:themeShade="80"/>
        </w:rPr>
        <w:t>Does</w:t>
      </w:r>
      <w:r w:rsidR="00452852" w:rsidRPr="006F2E02">
        <w:rPr>
          <w:rStyle w:val="Strong"/>
          <w:b w:val="0"/>
          <w:bCs w:val="0"/>
          <w:color w:val="767171" w:themeColor="background2" w:themeShade="80"/>
        </w:rPr>
        <w:t xml:space="preserve"> the quarterly data </w:t>
      </w:r>
      <w:r w:rsidR="008558DA" w:rsidRPr="006F2E02">
        <w:rPr>
          <w:rStyle w:val="Strong"/>
          <w:b w:val="0"/>
          <w:bCs w:val="0"/>
          <w:color w:val="767171" w:themeColor="background2" w:themeShade="80"/>
        </w:rPr>
        <w:t>need to be the equivalent of accounts?</w:t>
      </w:r>
    </w:p>
    <w:p w14:paraId="1486D1C0" w14:textId="31709326" w:rsidR="008558DA" w:rsidRDefault="008558DA" w:rsidP="008558DA">
      <w:r>
        <w:t>No.  The quarterly submission is supposed to be an overview of income and expenses, as recorded in the recordkeeping.  HMRC do not have the expectation that accounting adjustments or a formal review of accuracy will be undertaken.</w:t>
      </w:r>
    </w:p>
    <w:p w14:paraId="7C0296D7" w14:textId="72347DF0" w:rsidR="008558DA" w:rsidRPr="008558DA" w:rsidRDefault="008558DA" w:rsidP="008558DA">
      <w:r>
        <w:t>The quarterly submission demonstrates that records are being kept.</w:t>
      </w:r>
    </w:p>
    <w:p w14:paraId="0AA1613D" w14:textId="691A93B6" w:rsidR="646BEE43" w:rsidRPr="006F2E02" w:rsidRDefault="646BEE43" w:rsidP="006F2E02">
      <w:pPr>
        <w:pStyle w:val="Heading2"/>
        <w:rPr>
          <w:rStyle w:val="Strong"/>
          <w:b w:val="0"/>
          <w:bCs w:val="0"/>
          <w:color w:val="767171" w:themeColor="background2" w:themeShade="80"/>
        </w:rPr>
      </w:pPr>
      <w:r w:rsidRPr="006F2E02">
        <w:rPr>
          <w:rStyle w:val="Strong"/>
          <w:b w:val="0"/>
          <w:bCs w:val="0"/>
          <w:color w:val="767171" w:themeColor="background2" w:themeShade="80"/>
        </w:rPr>
        <w:t>What income is submitted annually?</w:t>
      </w:r>
    </w:p>
    <w:p w14:paraId="3BA1A35B" w14:textId="47E2844B" w:rsidR="00506809" w:rsidRPr="002D533D" w:rsidRDefault="00506809" w:rsidP="002D533D">
      <w:r w:rsidRPr="002D533D">
        <w:t>In simple terms – anything that would go onto a tax return today, needs to be submitted annually via MTD (for those taxpayers covered by the MTD process).  For example, a sole trader who is within MTD, who also received bank interest, dividends, and makes pension contributions would need to provide this data as part of their annual submission</w:t>
      </w:r>
      <w:r w:rsidR="0023030F">
        <w:t>.</w:t>
      </w:r>
    </w:p>
    <w:p w14:paraId="189BA323" w14:textId="1BE3D9BA" w:rsidR="41C036C4" w:rsidRPr="006F2E02" w:rsidRDefault="41C036C4" w:rsidP="006F2E02">
      <w:pPr>
        <w:pStyle w:val="Heading2"/>
        <w:rPr>
          <w:rStyle w:val="Strong"/>
          <w:b w:val="0"/>
          <w:bCs w:val="0"/>
          <w:color w:val="767171" w:themeColor="background2" w:themeShade="80"/>
        </w:rPr>
      </w:pPr>
      <w:r w:rsidRPr="006F2E02">
        <w:rPr>
          <w:rStyle w:val="Strong"/>
          <w:b w:val="0"/>
          <w:bCs w:val="0"/>
          <w:color w:val="767171" w:themeColor="background2" w:themeShade="80"/>
        </w:rPr>
        <w:t>What about joint income (</w:t>
      </w:r>
      <w:proofErr w:type="gramStart"/>
      <w:r w:rsidRPr="006F2E02">
        <w:rPr>
          <w:rStyle w:val="Strong"/>
          <w:b w:val="0"/>
          <w:bCs w:val="0"/>
          <w:color w:val="767171" w:themeColor="background2" w:themeShade="80"/>
        </w:rPr>
        <w:t>e.g.</w:t>
      </w:r>
      <w:proofErr w:type="gramEnd"/>
      <w:r w:rsidRPr="006F2E02">
        <w:rPr>
          <w:rStyle w:val="Strong"/>
          <w:b w:val="0"/>
          <w:bCs w:val="0"/>
          <w:color w:val="767171" w:themeColor="background2" w:themeShade="80"/>
        </w:rPr>
        <w:t xml:space="preserve"> joint rental income)?</w:t>
      </w:r>
    </w:p>
    <w:p w14:paraId="0F247D08" w14:textId="0C375D71" w:rsidR="00506809" w:rsidRPr="002D533D" w:rsidRDefault="00506809" w:rsidP="002D533D">
      <w:r w:rsidRPr="002D533D">
        <w:t xml:space="preserve">This is still not fully confirmed, but </w:t>
      </w:r>
      <w:r w:rsidR="00520D60" w:rsidRPr="002D533D">
        <w:t>joint rental income will have a designated recordkeeper who will be responsible for making the quarterly submission on behalf of all recipients.</w:t>
      </w:r>
    </w:p>
    <w:p w14:paraId="6749A722" w14:textId="43086469" w:rsidR="41C036C4" w:rsidRPr="006F2E02" w:rsidRDefault="41C036C4" w:rsidP="006F2E02">
      <w:pPr>
        <w:pStyle w:val="Heading2"/>
        <w:rPr>
          <w:rStyle w:val="Strong"/>
          <w:b w:val="0"/>
          <w:bCs w:val="0"/>
          <w:color w:val="767171" w:themeColor="background2" w:themeShade="80"/>
        </w:rPr>
      </w:pPr>
      <w:r w:rsidRPr="006F2E02">
        <w:rPr>
          <w:rStyle w:val="Strong"/>
          <w:b w:val="0"/>
          <w:bCs w:val="0"/>
          <w:color w:val="767171" w:themeColor="background2" w:themeShade="80"/>
        </w:rPr>
        <w:lastRenderedPageBreak/>
        <w:t xml:space="preserve">Who is responsible for </w:t>
      </w:r>
      <w:r w:rsidR="5896219D" w:rsidRPr="006F2E02">
        <w:rPr>
          <w:rStyle w:val="Strong"/>
          <w:b w:val="0"/>
          <w:bCs w:val="0"/>
          <w:color w:val="767171" w:themeColor="background2" w:themeShade="80"/>
        </w:rPr>
        <w:t xml:space="preserve">making a </w:t>
      </w:r>
      <w:r w:rsidRPr="006F2E02">
        <w:rPr>
          <w:rStyle w:val="Strong"/>
          <w:b w:val="0"/>
          <w:bCs w:val="0"/>
          <w:color w:val="767171" w:themeColor="background2" w:themeShade="80"/>
        </w:rPr>
        <w:t>partnership submission</w:t>
      </w:r>
      <w:r w:rsidR="66E83D00" w:rsidRPr="006F2E02">
        <w:rPr>
          <w:rStyle w:val="Strong"/>
          <w:b w:val="0"/>
          <w:bCs w:val="0"/>
          <w:color w:val="767171" w:themeColor="background2" w:themeShade="80"/>
        </w:rPr>
        <w:t>?</w:t>
      </w:r>
    </w:p>
    <w:p w14:paraId="3400D800" w14:textId="72FBFB3F" w:rsidR="00520D60" w:rsidRPr="002D533D" w:rsidRDefault="00520D60" w:rsidP="002D533D">
      <w:r w:rsidRPr="002D533D">
        <w:t>Today, one partner is nominated to sign the partnership tax return on behalf of the partnership.  This process of having a nominated partner will continue for quarterly submissions under MTD</w:t>
      </w:r>
      <w:r w:rsidR="0023030F">
        <w:t>.</w:t>
      </w:r>
    </w:p>
    <w:p w14:paraId="530C6D8F" w14:textId="5156EB22" w:rsidR="58317A38" w:rsidRPr="002D533D" w:rsidRDefault="58317A38" w:rsidP="002D533D">
      <w:pPr>
        <w:rPr>
          <w:rStyle w:val="Strong"/>
          <w:b w:val="0"/>
          <w:bCs w:val="0"/>
        </w:rPr>
      </w:pPr>
    </w:p>
    <w:p w14:paraId="4300DBFE" w14:textId="77777777" w:rsidR="0093256B" w:rsidRDefault="0093256B" w:rsidP="002D533D">
      <w:pPr>
        <w:rPr>
          <w:rFonts w:ascii="Calibri Light" w:hAnsi="Calibri Light"/>
          <w:color w:val="2F5496" w:themeColor="accent1" w:themeShade="BF"/>
          <w:sz w:val="40"/>
          <w:szCs w:val="40"/>
        </w:rPr>
      </w:pPr>
    </w:p>
    <w:p w14:paraId="5D487219" w14:textId="212C7E95" w:rsidR="16C35A04" w:rsidRPr="0093256B" w:rsidRDefault="16C35A04" w:rsidP="002D533D">
      <w:pPr>
        <w:rPr>
          <w:rFonts w:ascii="Calibri Light" w:hAnsi="Calibri Light"/>
          <w:color w:val="3B3838" w:themeColor="background2" w:themeShade="40"/>
          <w:sz w:val="40"/>
          <w:szCs w:val="40"/>
        </w:rPr>
      </w:pPr>
      <w:r w:rsidRPr="0093256B">
        <w:rPr>
          <w:rFonts w:ascii="Calibri Light" w:hAnsi="Calibri Light"/>
          <w:color w:val="3B3838" w:themeColor="background2" w:themeShade="40"/>
          <w:sz w:val="40"/>
          <w:szCs w:val="40"/>
        </w:rPr>
        <w:t>Personal Tax Account</w:t>
      </w:r>
    </w:p>
    <w:p w14:paraId="7CFFC159" w14:textId="6B04397F" w:rsidR="58317A38" w:rsidRPr="006F2E02" w:rsidRDefault="00336280" w:rsidP="006F2E02">
      <w:pPr>
        <w:pStyle w:val="Heading2"/>
        <w:rPr>
          <w:color w:val="767171" w:themeColor="background2" w:themeShade="80"/>
        </w:rPr>
      </w:pPr>
      <w:r w:rsidRPr="006F2E02">
        <w:rPr>
          <w:color w:val="767171" w:themeColor="background2" w:themeShade="80"/>
        </w:rPr>
        <w:t>What is the Personal Tax Account?</w:t>
      </w:r>
    </w:p>
    <w:p w14:paraId="1C1EBB65" w14:textId="73F191C1" w:rsidR="00336280" w:rsidRPr="002D533D" w:rsidRDefault="00336280" w:rsidP="002D533D">
      <w:r w:rsidRPr="002D533D">
        <w:t xml:space="preserve">It is part of the HMRC website, where you can securely log-in to manage your tax </w:t>
      </w:r>
      <w:r w:rsidR="008F158A" w:rsidRPr="002D533D">
        <w:t>affairs</w:t>
      </w:r>
      <w:r w:rsidRPr="002D533D">
        <w:t>.</w:t>
      </w:r>
    </w:p>
    <w:p w14:paraId="21A60074" w14:textId="08824E1C" w:rsidR="00336280" w:rsidRPr="006F2E02" w:rsidRDefault="00336280" w:rsidP="006F2E02">
      <w:pPr>
        <w:pStyle w:val="Heading2"/>
        <w:rPr>
          <w:color w:val="767171" w:themeColor="background2" w:themeShade="80"/>
        </w:rPr>
      </w:pPr>
      <w:r w:rsidRPr="006F2E02">
        <w:rPr>
          <w:color w:val="767171" w:themeColor="background2" w:themeShade="80"/>
        </w:rPr>
        <w:t>What functionality does the Personal Tax Account have?</w:t>
      </w:r>
    </w:p>
    <w:p w14:paraId="2CAB504E" w14:textId="2BB5D595" w:rsidR="00336280" w:rsidRPr="002D533D" w:rsidRDefault="00336280" w:rsidP="002D533D">
      <w:r w:rsidRPr="002D533D">
        <w:t xml:space="preserve">There is quite a bit of functionality on </w:t>
      </w:r>
      <w:r w:rsidR="0093256B" w:rsidRPr="002D533D">
        <w:t>offer.</w:t>
      </w:r>
    </w:p>
    <w:p w14:paraId="6ABF63D0" w14:textId="45A62DAC" w:rsidR="00CD0F5F" w:rsidRPr="002D533D" w:rsidRDefault="00CD0F5F" w:rsidP="001A2AC4">
      <w:pPr>
        <w:pStyle w:val="ListParagraph"/>
        <w:numPr>
          <w:ilvl w:val="0"/>
          <w:numId w:val="2"/>
        </w:numPr>
      </w:pPr>
      <w:r w:rsidRPr="002D533D">
        <w:t>A</w:t>
      </w:r>
      <w:r w:rsidR="001A2AC4">
        <w:t>s</w:t>
      </w:r>
      <w:r w:rsidRPr="002D533D">
        <w:t xml:space="preserve"> an employee, you can view your current earnings and tax</w:t>
      </w:r>
    </w:p>
    <w:p w14:paraId="43EB18F6" w14:textId="77777777" w:rsidR="00CD0F5F" w:rsidRPr="002D533D" w:rsidRDefault="00CD0F5F" w:rsidP="001A2AC4">
      <w:pPr>
        <w:pStyle w:val="ListParagraph"/>
        <w:numPr>
          <w:ilvl w:val="0"/>
          <w:numId w:val="2"/>
        </w:numPr>
      </w:pPr>
      <w:r w:rsidRPr="002D533D">
        <w:t>You can view your most recent tax code</w:t>
      </w:r>
    </w:p>
    <w:p w14:paraId="59542BFC" w14:textId="77777777" w:rsidR="00CD0F5F" w:rsidRPr="002D533D" w:rsidRDefault="00CD0F5F" w:rsidP="001A2AC4">
      <w:pPr>
        <w:pStyle w:val="ListParagraph"/>
        <w:numPr>
          <w:ilvl w:val="0"/>
          <w:numId w:val="2"/>
        </w:numPr>
      </w:pPr>
      <w:r w:rsidRPr="002D533D">
        <w:t>You can also view this information for recent closed tax years</w:t>
      </w:r>
    </w:p>
    <w:p w14:paraId="2FD13D2D" w14:textId="77777777" w:rsidR="00DD6CCF" w:rsidRPr="002D533D" w:rsidRDefault="00DD6CCF" w:rsidP="001A2AC4">
      <w:pPr>
        <w:pStyle w:val="ListParagraph"/>
        <w:numPr>
          <w:ilvl w:val="0"/>
          <w:numId w:val="2"/>
        </w:numPr>
      </w:pPr>
      <w:r w:rsidRPr="002D533D">
        <w:t xml:space="preserve">You can make a request to HMRC to </w:t>
      </w:r>
      <w:proofErr w:type="gramStart"/>
      <w:r w:rsidRPr="002D533D">
        <w:t>make adjustments to</w:t>
      </w:r>
      <w:proofErr w:type="gramEnd"/>
      <w:r w:rsidRPr="002D533D">
        <w:t xml:space="preserve"> your tax code</w:t>
      </w:r>
    </w:p>
    <w:p w14:paraId="62FBD30E" w14:textId="38A0767A" w:rsidR="008F158A" w:rsidRPr="002D533D" w:rsidRDefault="00DD6CCF" w:rsidP="001A2AC4">
      <w:pPr>
        <w:pStyle w:val="ListParagraph"/>
        <w:numPr>
          <w:ilvl w:val="0"/>
          <w:numId w:val="2"/>
        </w:numPr>
      </w:pPr>
      <w:r w:rsidRPr="002D533D">
        <w:t>You can receive a forecast of state</w:t>
      </w:r>
      <w:r w:rsidR="008F158A" w:rsidRPr="002D533D">
        <w:t xml:space="preserve"> pension entitlement, and view your National Insurance record</w:t>
      </w:r>
    </w:p>
    <w:p w14:paraId="7EEDE6C1" w14:textId="52F31799" w:rsidR="008F158A" w:rsidRPr="006F2E02" w:rsidRDefault="008F158A" w:rsidP="006F2E02">
      <w:pPr>
        <w:pStyle w:val="Heading2"/>
        <w:rPr>
          <w:color w:val="767171" w:themeColor="background2" w:themeShade="80"/>
        </w:rPr>
      </w:pPr>
      <w:r w:rsidRPr="006F2E02">
        <w:rPr>
          <w:color w:val="767171" w:themeColor="background2" w:themeShade="80"/>
        </w:rPr>
        <w:t>How do I access it?</w:t>
      </w:r>
    </w:p>
    <w:p w14:paraId="52DD2CFC" w14:textId="73F02E84" w:rsidR="008F158A" w:rsidRPr="002D533D" w:rsidRDefault="00017EAE" w:rsidP="002D533D">
      <w:r w:rsidRPr="002D533D">
        <w:t xml:space="preserve">Visit </w:t>
      </w:r>
      <w:hyperlink r:id="rId8" w:history="1">
        <w:r w:rsidRPr="002D533D">
          <w:rPr>
            <w:rStyle w:val="Hyperlink"/>
          </w:rPr>
          <w:t>https://www.gov.uk/personal-tax-account</w:t>
        </w:r>
      </w:hyperlink>
      <w:r w:rsidRPr="002D533D">
        <w:t xml:space="preserve"> to get started</w:t>
      </w:r>
    </w:p>
    <w:p w14:paraId="2F3AA241" w14:textId="5E39DFCD" w:rsidR="008F158A" w:rsidRPr="006F2E02" w:rsidRDefault="008F158A" w:rsidP="006F2E02">
      <w:pPr>
        <w:pStyle w:val="Heading2"/>
        <w:rPr>
          <w:color w:val="767171" w:themeColor="background2" w:themeShade="80"/>
        </w:rPr>
      </w:pPr>
      <w:r w:rsidRPr="006F2E02">
        <w:rPr>
          <w:color w:val="767171" w:themeColor="background2" w:themeShade="80"/>
        </w:rPr>
        <w:t>Is it secure?</w:t>
      </w:r>
    </w:p>
    <w:p w14:paraId="0BD8DB3E" w14:textId="7ABE7C1E" w:rsidR="00157A9A" w:rsidRPr="002D533D" w:rsidRDefault="00AF275A" w:rsidP="002D533D">
      <w:r w:rsidRPr="002D533D">
        <w:t xml:space="preserve">Yes.  </w:t>
      </w:r>
      <w:r w:rsidR="00157A9A" w:rsidRPr="002D533D">
        <w:t xml:space="preserve">The details behind how the system works, and why it is secure can be found: </w:t>
      </w:r>
      <w:hyperlink r:id="rId9" w:history="1">
        <w:r w:rsidR="00157A9A" w:rsidRPr="002D533D">
          <w:rPr>
            <w:rStyle w:val="Hyperlink"/>
          </w:rPr>
          <w:t>https://www.gov.uk/government/publications/introducing-govuk-verify</w:t>
        </w:r>
      </w:hyperlink>
    </w:p>
    <w:sectPr w:rsidR="00157A9A" w:rsidRPr="002D533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0C85" w14:textId="77777777" w:rsidR="006E6DC9" w:rsidRDefault="006E6DC9" w:rsidP="00A8359F">
      <w:pPr>
        <w:spacing w:after="0" w:line="240" w:lineRule="auto"/>
      </w:pPr>
      <w:r>
        <w:separator/>
      </w:r>
    </w:p>
  </w:endnote>
  <w:endnote w:type="continuationSeparator" w:id="0">
    <w:p w14:paraId="6844FB05" w14:textId="77777777" w:rsidR="006E6DC9" w:rsidRDefault="006E6DC9" w:rsidP="00A8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72E3F83BA4DA4E32A36D13DB4EF533FD"/>
      </w:placeholder>
      <w:temporary/>
      <w:showingPlcHdr/>
      <w15:appearance w15:val="hidden"/>
    </w:sdtPr>
    <w:sdtEndPr/>
    <w:sdtContent>
      <w:p w14:paraId="1528F1F2" w14:textId="77777777" w:rsidR="00A8359F" w:rsidRDefault="00A8359F">
        <w:pPr>
          <w:pStyle w:val="Footer"/>
        </w:pPr>
        <w:r>
          <w:t>[Type here]</w:t>
        </w:r>
      </w:p>
    </w:sdtContent>
  </w:sdt>
  <w:p w14:paraId="773CD510" w14:textId="77777777" w:rsidR="00A8359F" w:rsidRDefault="00A83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33FC" w14:textId="77777777" w:rsidR="006E6DC9" w:rsidRDefault="006E6DC9" w:rsidP="00A8359F">
      <w:pPr>
        <w:spacing w:after="0" w:line="240" w:lineRule="auto"/>
      </w:pPr>
      <w:r>
        <w:separator/>
      </w:r>
    </w:p>
  </w:footnote>
  <w:footnote w:type="continuationSeparator" w:id="0">
    <w:p w14:paraId="711E626F" w14:textId="77777777" w:rsidR="006E6DC9" w:rsidRDefault="006E6DC9" w:rsidP="00A8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8A13F9524024D0BA68E028ADC15367A"/>
      </w:placeholder>
      <w:temporary/>
      <w:showingPlcHdr/>
      <w15:appearance w15:val="hidden"/>
    </w:sdtPr>
    <w:sdtEndPr/>
    <w:sdtContent>
      <w:p w14:paraId="66B72860" w14:textId="77777777" w:rsidR="00A8359F" w:rsidRDefault="00A8359F">
        <w:pPr>
          <w:pStyle w:val="Header"/>
        </w:pPr>
        <w:r>
          <w:t>[Type here]</w:t>
        </w:r>
      </w:p>
    </w:sdtContent>
  </w:sdt>
  <w:p w14:paraId="0633AE0D" w14:textId="77777777" w:rsidR="00A8359F" w:rsidRDefault="00A83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837"/>
    <w:multiLevelType w:val="hybridMultilevel"/>
    <w:tmpl w:val="00E47DBA"/>
    <w:lvl w:ilvl="0" w:tplc="01489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4C8"/>
    <w:multiLevelType w:val="hybridMultilevel"/>
    <w:tmpl w:val="25FA63B0"/>
    <w:lvl w:ilvl="0" w:tplc="01489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27AC"/>
    <w:multiLevelType w:val="hybridMultilevel"/>
    <w:tmpl w:val="DFC2A72A"/>
    <w:lvl w:ilvl="0" w:tplc="01489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91DF0"/>
    <w:multiLevelType w:val="hybridMultilevel"/>
    <w:tmpl w:val="676C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F5092"/>
    <w:multiLevelType w:val="hybridMultilevel"/>
    <w:tmpl w:val="658627B0"/>
    <w:lvl w:ilvl="0" w:tplc="01489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84209"/>
    <w:multiLevelType w:val="hybridMultilevel"/>
    <w:tmpl w:val="473AD942"/>
    <w:lvl w:ilvl="0" w:tplc="01489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A8EA7D"/>
    <w:rsid w:val="00017EAE"/>
    <w:rsid w:val="000C2D57"/>
    <w:rsid w:val="000D44FC"/>
    <w:rsid w:val="000E3E30"/>
    <w:rsid w:val="00107AE8"/>
    <w:rsid w:val="0011260E"/>
    <w:rsid w:val="001213A2"/>
    <w:rsid w:val="00156829"/>
    <w:rsid w:val="00157A9A"/>
    <w:rsid w:val="00173600"/>
    <w:rsid w:val="001A2AC4"/>
    <w:rsid w:val="001C5521"/>
    <w:rsid w:val="001C5D05"/>
    <w:rsid w:val="001D795A"/>
    <w:rsid w:val="001E3071"/>
    <w:rsid w:val="00221659"/>
    <w:rsid w:val="0023030F"/>
    <w:rsid w:val="00271A6A"/>
    <w:rsid w:val="002D533D"/>
    <w:rsid w:val="002E0D1E"/>
    <w:rsid w:val="002F2608"/>
    <w:rsid w:val="00311EF1"/>
    <w:rsid w:val="00336280"/>
    <w:rsid w:val="003A73F3"/>
    <w:rsid w:val="003B3C39"/>
    <w:rsid w:val="003C0E15"/>
    <w:rsid w:val="003E2B09"/>
    <w:rsid w:val="00451299"/>
    <w:rsid w:val="00452852"/>
    <w:rsid w:val="00495B37"/>
    <w:rsid w:val="004F1082"/>
    <w:rsid w:val="00502F5E"/>
    <w:rsid w:val="00506809"/>
    <w:rsid w:val="00520D60"/>
    <w:rsid w:val="00524232"/>
    <w:rsid w:val="00525B1D"/>
    <w:rsid w:val="00526073"/>
    <w:rsid w:val="005965F0"/>
    <w:rsid w:val="005B5FA3"/>
    <w:rsid w:val="005E0208"/>
    <w:rsid w:val="005E18E4"/>
    <w:rsid w:val="006131A3"/>
    <w:rsid w:val="0062684C"/>
    <w:rsid w:val="0064599F"/>
    <w:rsid w:val="00655D49"/>
    <w:rsid w:val="006E6DC9"/>
    <w:rsid w:val="006F2E02"/>
    <w:rsid w:val="00723E45"/>
    <w:rsid w:val="00733A05"/>
    <w:rsid w:val="007901F5"/>
    <w:rsid w:val="007E2630"/>
    <w:rsid w:val="0082712E"/>
    <w:rsid w:val="008513E2"/>
    <w:rsid w:val="008558DA"/>
    <w:rsid w:val="008A7080"/>
    <w:rsid w:val="008D7742"/>
    <w:rsid w:val="008F158A"/>
    <w:rsid w:val="00931789"/>
    <w:rsid w:val="0093256B"/>
    <w:rsid w:val="009465D6"/>
    <w:rsid w:val="00951107"/>
    <w:rsid w:val="0095678F"/>
    <w:rsid w:val="009758E3"/>
    <w:rsid w:val="009B1306"/>
    <w:rsid w:val="009B55A0"/>
    <w:rsid w:val="009B60FB"/>
    <w:rsid w:val="009D3E26"/>
    <w:rsid w:val="00A02285"/>
    <w:rsid w:val="00A1340A"/>
    <w:rsid w:val="00A224C8"/>
    <w:rsid w:val="00A5562A"/>
    <w:rsid w:val="00A8359F"/>
    <w:rsid w:val="00AA1A2A"/>
    <w:rsid w:val="00AB757A"/>
    <w:rsid w:val="00AE61CE"/>
    <w:rsid w:val="00AF275A"/>
    <w:rsid w:val="00B23D65"/>
    <w:rsid w:val="00B402A5"/>
    <w:rsid w:val="00B82602"/>
    <w:rsid w:val="00BD30FB"/>
    <w:rsid w:val="00BE130B"/>
    <w:rsid w:val="00BE6F52"/>
    <w:rsid w:val="00C03668"/>
    <w:rsid w:val="00C04173"/>
    <w:rsid w:val="00C63765"/>
    <w:rsid w:val="00CD0F5F"/>
    <w:rsid w:val="00CF2C21"/>
    <w:rsid w:val="00D26491"/>
    <w:rsid w:val="00D97BD9"/>
    <w:rsid w:val="00DC51D7"/>
    <w:rsid w:val="00DC6EAB"/>
    <w:rsid w:val="00DD6CCF"/>
    <w:rsid w:val="00DE283D"/>
    <w:rsid w:val="00E2164A"/>
    <w:rsid w:val="00E357B5"/>
    <w:rsid w:val="00E4451E"/>
    <w:rsid w:val="00EF541F"/>
    <w:rsid w:val="00F33A4D"/>
    <w:rsid w:val="00F64C41"/>
    <w:rsid w:val="00F67D1F"/>
    <w:rsid w:val="00FA21F8"/>
    <w:rsid w:val="00FB0094"/>
    <w:rsid w:val="00FC3F55"/>
    <w:rsid w:val="00FF76E3"/>
    <w:rsid w:val="022D560F"/>
    <w:rsid w:val="09BABDBA"/>
    <w:rsid w:val="0A061A19"/>
    <w:rsid w:val="0C74E618"/>
    <w:rsid w:val="121ECE84"/>
    <w:rsid w:val="16C35A04"/>
    <w:rsid w:val="18041676"/>
    <w:rsid w:val="1A59D82B"/>
    <w:rsid w:val="1BAC886D"/>
    <w:rsid w:val="1F0174D9"/>
    <w:rsid w:val="20D8CC4E"/>
    <w:rsid w:val="23D4E5FC"/>
    <w:rsid w:val="265C3865"/>
    <w:rsid w:val="268CEEDE"/>
    <w:rsid w:val="27FC2664"/>
    <w:rsid w:val="2D666A1E"/>
    <w:rsid w:val="2E2BC336"/>
    <w:rsid w:val="2FE80575"/>
    <w:rsid w:val="302142F6"/>
    <w:rsid w:val="399D95ED"/>
    <w:rsid w:val="3CD4807A"/>
    <w:rsid w:val="3EA8EA7D"/>
    <w:rsid w:val="41C036C4"/>
    <w:rsid w:val="42542258"/>
    <w:rsid w:val="43292A98"/>
    <w:rsid w:val="4343C1FE"/>
    <w:rsid w:val="442F976B"/>
    <w:rsid w:val="4C4E19CE"/>
    <w:rsid w:val="4DBD5154"/>
    <w:rsid w:val="4DE9EA2F"/>
    <w:rsid w:val="50224506"/>
    <w:rsid w:val="52408F5B"/>
    <w:rsid w:val="537DFD3E"/>
    <w:rsid w:val="539DADC7"/>
    <w:rsid w:val="55C86339"/>
    <w:rsid w:val="58317A38"/>
    <w:rsid w:val="5896219D"/>
    <w:rsid w:val="59AFFEEF"/>
    <w:rsid w:val="613FBF9E"/>
    <w:rsid w:val="646BEE43"/>
    <w:rsid w:val="66E83D00"/>
    <w:rsid w:val="6904ECEE"/>
    <w:rsid w:val="6BB03D9D"/>
    <w:rsid w:val="6EA5A4AF"/>
    <w:rsid w:val="6FA0C74D"/>
    <w:rsid w:val="7161F3A7"/>
    <w:rsid w:val="739F9227"/>
    <w:rsid w:val="76B0B694"/>
    <w:rsid w:val="76E1C042"/>
    <w:rsid w:val="7750A44A"/>
    <w:rsid w:val="7BF9E4A1"/>
    <w:rsid w:val="7D4856A6"/>
    <w:rsid w:val="7F92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EA7D"/>
  <w15:chartTrackingRefBased/>
  <w15:docId w15:val="{A1F8B1A3-4660-40DD-A1DC-A23183A0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742"/>
  </w:style>
  <w:style w:type="paragraph" w:styleId="Heading1">
    <w:name w:val="heading 1"/>
    <w:basedOn w:val="Normal"/>
    <w:next w:val="Normal"/>
    <w:link w:val="Heading1Char"/>
    <w:uiPriority w:val="9"/>
    <w:qFormat/>
    <w:rsid w:val="008D7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7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742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742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742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7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742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7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D7742"/>
    <w:rPr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8D774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36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EA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D77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7742"/>
    <w:rPr>
      <w:rFonts w:asciiTheme="majorHAnsi" w:eastAsiaTheme="majorEastAsia" w:hAnsiTheme="majorHAnsi" w:cstheme="majorBidi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12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D7742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742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742"/>
    <w:rPr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742"/>
    <w:rPr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74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742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74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77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74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7742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8D7742"/>
    <w:rPr>
      <w:i/>
      <w:iCs/>
      <w:color w:val="auto"/>
    </w:rPr>
  </w:style>
  <w:style w:type="paragraph" w:styleId="NoSpacing">
    <w:name w:val="No Spacing"/>
    <w:uiPriority w:val="1"/>
    <w:qFormat/>
    <w:rsid w:val="008D7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774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774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74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742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D77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7742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D774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D7742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D774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774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3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59F"/>
  </w:style>
  <w:style w:type="paragraph" w:styleId="Footer">
    <w:name w:val="footer"/>
    <w:basedOn w:val="Normal"/>
    <w:link w:val="FooterChar"/>
    <w:uiPriority w:val="99"/>
    <w:unhideWhenUsed/>
    <w:rsid w:val="00A83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59F"/>
  </w:style>
  <w:style w:type="character" w:styleId="FollowedHyperlink">
    <w:name w:val="FollowedHyperlink"/>
    <w:basedOn w:val="DefaultParagraphFont"/>
    <w:uiPriority w:val="99"/>
    <w:semiHidden/>
    <w:unhideWhenUsed/>
    <w:rsid w:val="002E0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personal-tax-accoun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introducing-govuk-verify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A13F9524024D0BA68E028ADC1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9552-1697-4B95-A43B-A5FB7E477D13}"/>
      </w:docPartPr>
      <w:docPartBody>
        <w:p w:rsidR="001B2348" w:rsidRDefault="000C417C" w:rsidP="000C417C">
          <w:pPr>
            <w:pStyle w:val="98A13F9524024D0BA68E028ADC15367A"/>
          </w:pPr>
          <w:r>
            <w:t>[Type here]</w:t>
          </w:r>
        </w:p>
      </w:docPartBody>
    </w:docPart>
    <w:docPart>
      <w:docPartPr>
        <w:name w:val="72E3F83BA4DA4E32A36D13DB4EF5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C970-CAF0-4427-9720-1A071F5DD784}"/>
      </w:docPartPr>
      <w:docPartBody>
        <w:p w:rsidR="001B2348" w:rsidRDefault="000C417C" w:rsidP="000C417C">
          <w:pPr>
            <w:pStyle w:val="72E3F83BA4DA4E32A36D13DB4EF533F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7C"/>
    <w:rsid w:val="000C417C"/>
    <w:rsid w:val="001B2348"/>
    <w:rsid w:val="005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A13F9524024D0BA68E028ADC15367A">
    <w:name w:val="98A13F9524024D0BA68E028ADC15367A"/>
    <w:rsid w:val="000C417C"/>
  </w:style>
  <w:style w:type="paragraph" w:customStyle="1" w:styleId="72E3F83BA4DA4E32A36D13DB4EF533FD">
    <w:name w:val="72E3F83BA4DA4E32A36D13DB4EF533FD"/>
    <w:rsid w:val="000C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85EE-E226-4D14-87E7-DB95A898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Links>
    <vt:vector size="12" baseType="variant"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https://www.gov.uk/government/publications/introducing-govuk-verify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https://www.gov.uk/personal-tax-account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Purdue, Mark A. (TR Product)</dc:creator>
  <cp:keywords/>
  <dc:description/>
  <cp:lastModifiedBy>Dine, Claire (TR Marketing)</cp:lastModifiedBy>
  <cp:revision>2</cp:revision>
  <dcterms:created xsi:type="dcterms:W3CDTF">2022-07-06T10:22:00Z</dcterms:created>
  <dcterms:modified xsi:type="dcterms:W3CDTF">2022-07-06T10:22:00Z</dcterms:modified>
</cp:coreProperties>
</file>